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7BF" w:rsidRDefault="00FC17BF" w:rsidP="00FC17BF">
      <w:pPr>
        <w:pStyle w:val="c18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15"/>
          <w:b/>
          <w:bCs/>
          <w:color w:val="000000"/>
        </w:rPr>
        <w:t>Цель:</w:t>
      </w:r>
      <w:r>
        <w:rPr>
          <w:rStyle w:val="c5"/>
          <w:color w:val="000000"/>
        </w:rPr>
        <w:t> формировать основные представления о топливно-энергетическом комплексе России; рассмотреть состав,  значение ТЭКа; формировать представление о размещении месторождений угля, нефти и газа по территории страны.</w:t>
      </w:r>
    </w:p>
    <w:p w:rsidR="002775E9" w:rsidRPr="002775E9" w:rsidRDefault="002775E9" w:rsidP="002775E9">
      <w:pPr>
        <w:pStyle w:val="c18"/>
        <w:numPr>
          <w:ilvl w:val="0"/>
          <w:numId w:val="1"/>
        </w:numPr>
        <w:shd w:val="clear" w:color="auto" w:fill="FFFFFF"/>
        <w:spacing w:after="0"/>
        <w:rPr>
          <w:b/>
          <w:bCs/>
          <w:color w:val="000000"/>
        </w:rPr>
      </w:pPr>
      <w:r w:rsidRPr="002775E9">
        <w:rPr>
          <w:b/>
          <w:bCs/>
          <w:i/>
          <w:iCs/>
          <w:color w:val="000000"/>
        </w:rPr>
        <w:t>Образовательные:</w:t>
      </w:r>
    </w:p>
    <w:p w:rsidR="002775E9" w:rsidRPr="002775E9" w:rsidRDefault="002775E9" w:rsidP="002775E9">
      <w:pPr>
        <w:pStyle w:val="c18"/>
        <w:numPr>
          <w:ilvl w:val="1"/>
          <w:numId w:val="1"/>
        </w:numPr>
        <w:shd w:val="clear" w:color="auto" w:fill="FFFFFF"/>
        <w:tabs>
          <w:tab w:val="clear" w:pos="1440"/>
        </w:tabs>
        <w:spacing w:after="0"/>
        <w:ind w:left="142" w:hanging="142"/>
        <w:rPr>
          <w:bCs/>
          <w:color w:val="000000"/>
        </w:rPr>
      </w:pPr>
      <w:r w:rsidRPr="002775E9">
        <w:rPr>
          <w:bCs/>
          <w:color w:val="000000"/>
        </w:rPr>
        <w:t>познакомить учащихся с особенностями ТЭКа России;</w:t>
      </w:r>
    </w:p>
    <w:p w:rsidR="002775E9" w:rsidRPr="002775E9" w:rsidRDefault="002775E9" w:rsidP="002775E9">
      <w:pPr>
        <w:pStyle w:val="c18"/>
        <w:numPr>
          <w:ilvl w:val="1"/>
          <w:numId w:val="1"/>
        </w:numPr>
        <w:shd w:val="clear" w:color="auto" w:fill="FFFFFF"/>
        <w:tabs>
          <w:tab w:val="clear" w:pos="1440"/>
        </w:tabs>
        <w:spacing w:after="0"/>
        <w:ind w:left="142" w:hanging="142"/>
        <w:rPr>
          <w:bCs/>
          <w:color w:val="000000"/>
        </w:rPr>
      </w:pPr>
      <w:r w:rsidRPr="002775E9">
        <w:rPr>
          <w:bCs/>
          <w:color w:val="000000"/>
        </w:rPr>
        <w:t>определить состав топливной отрасли;</w:t>
      </w:r>
    </w:p>
    <w:p w:rsidR="002775E9" w:rsidRPr="002775E9" w:rsidRDefault="002775E9" w:rsidP="002775E9">
      <w:pPr>
        <w:pStyle w:val="c18"/>
        <w:numPr>
          <w:ilvl w:val="1"/>
          <w:numId w:val="1"/>
        </w:numPr>
        <w:shd w:val="clear" w:color="auto" w:fill="FFFFFF"/>
        <w:tabs>
          <w:tab w:val="clear" w:pos="1440"/>
        </w:tabs>
        <w:spacing w:after="0"/>
        <w:ind w:left="142" w:hanging="142"/>
        <w:rPr>
          <w:bCs/>
          <w:color w:val="000000"/>
        </w:rPr>
      </w:pPr>
      <w:r w:rsidRPr="002775E9">
        <w:rPr>
          <w:bCs/>
          <w:color w:val="000000"/>
        </w:rPr>
        <w:t>выявить главные топливные базы, перспективные районы добычи газа, нефти, угля.</w:t>
      </w:r>
    </w:p>
    <w:p w:rsidR="002775E9" w:rsidRPr="002775E9" w:rsidRDefault="002775E9" w:rsidP="002775E9">
      <w:pPr>
        <w:pStyle w:val="c18"/>
        <w:numPr>
          <w:ilvl w:val="0"/>
          <w:numId w:val="1"/>
        </w:numPr>
        <w:shd w:val="clear" w:color="auto" w:fill="FFFFFF"/>
        <w:spacing w:after="0"/>
        <w:ind w:left="142" w:hanging="142"/>
        <w:rPr>
          <w:bCs/>
          <w:color w:val="000000"/>
        </w:rPr>
      </w:pPr>
      <w:r w:rsidRPr="002775E9">
        <w:rPr>
          <w:bCs/>
          <w:i/>
          <w:iCs/>
          <w:color w:val="000000"/>
        </w:rPr>
        <w:t>Развивающие:</w:t>
      </w:r>
    </w:p>
    <w:p w:rsidR="002775E9" w:rsidRPr="002775E9" w:rsidRDefault="002775E9" w:rsidP="002775E9">
      <w:pPr>
        <w:pStyle w:val="c18"/>
        <w:numPr>
          <w:ilvl w:val="1"/>
          <w:numId w:val="1"/>
        </w:numPr>
        <w:shd w:val="clear" w:color="auto" w:fill="FFFFFF"/>
        <w:tabs>
          <w:tab w:val="clear" w:pos="1440"/>
        </w:tabs>
        <w:spacing w:after="0"/>
        <w:ind w:left="142" w:hanging="142"/>
        <w:rPr>
          <w:bCs/>
          <w:color w:val="000000"/>
        </w:rPr>
      </w:pPr>
      <w:r w:rsidRPr="002775E9">
        <w:rPr>
          <w:bCs/>
          <w:color w:val="000000"/>
        </w:rPr>
        <w:t>формировать коммуникативные умения (составление тезисов лекции);</w:t>
      </w:r>
    </w:p>
    <w:p w:rsidR="002775E9" w:rsidRPr="002775E9" w:rsidRDefault="002775E9" w:rsidP="002775E9">
      <w:pPr>
        <w:pStyle w:val="c18"/>
        <w:numPr>
          <w:ilvl w:val="1"/>
          <w:numId w:val="1"/>
        </w:numPr>
        <w:shd w:val="clear" w:color="auto" w:fill="FFFFFF"/>
        <w:tabs>
          <w:tab w:val="clear" w:pos="1440"/>
        </w:tabs>
        <w:spacing w:after="0"/>
        <w:ind w:left="142" w:hanging="142"/>
        <w:rPr>
          <w:bCs/>
          <w:color w:val="000000"/>
        </w:rPr>
      </w:pPr>
      <w:r w:rsidRPr="002775E9">
        <w:rPr>
          <w:bCs/>
          <w:color w:val="000000"/>
        </w:rPr>
        <w:t>развивать логическое мышление, умение классифицировать характеристику ТЭКа.</w:t>
      </w:r>
    </w:p>
    <w:p w:rsidR="002775E9" w:rsidRPr="002775E9" w:rsidRDefault="002775E9" w:rsidP="002775E9">
      <w:pPr>
        <w:pStyle w:val="c18"/>
        <w:numPr>
          <w:ilvl w:val="0"/>
          <w:numId w:val="1"/>
        </w:numPr>
        <w:shd w:val="clear" w:color="auto" w:fill="FFFFFF"/>
        <w:spacing w:after="0"/>
        <w:ind w:left="142" w:hanging="142"/>
        <w:rPr>
          <w:bCs/>
          <w:color w:val="000000"/>
        </w:rPr>
      </w:pPr>
      <w:r w:rsidRPr="002775E9">
        <w:rPr>
          <w:bCs/>
          <w:i/>
          <w:iCs/>
          <w:color w:val="000000"/>
        </w:rPr>
        <w:t>Воспитательные:</w:t>
      </w:r>
    </w:p>
    <w:p w:rsidR="002775E9" w:rsidRPr="002775E9" w:rsidRDefault="002775E9" w:rsidP="002775E9">
      <w:pPr>
        <w:pStyle w:val="c18"/>
        <w:numPr>
          <w:ilvl w:val="1"/>
          <w:numId w:val="1"/>
        </w:numPr>
        <w:shd w:val="clear" w:color="auto" w:fill="FFFFFF"/>
        <w:tabs>
          <w:tab w:val="clear" w:pos="1440"/>
        </w:tabs>
        <w:spacing w:after="0"/>
        <w:ind w:left="142" w:hanging="142"/>
        <w:rPr>
          <w:bCs/>
          <w:color w:val="000000"/>
        </w:rPr>
      </w:pPr>
      <w:r w:rsidRPr="002775E9">
        <w:rPr>
          <w:bCs/>
          <w:color w:val="000000"/>
        </w:rPr>
        <w:t>воспитывать сотруднические отношения в работе групп;</w:t>
      </w:r>
    </w:p>
    <w:p w:rsidR="002775E9" w:rsidRPr="002775E9" w:rsidRDefault="002775E9" w:rsidP="002775E9">
      <w:pPr>
        <w:pStyle w:val="c18"/>
        <w:numPr>
          <w:ilvl w:val="1"/>
          <w:numId w:val="1"/>
        </w:numPr>
        <w:shd w:val="clear" w:color="auto" w:fill="FFFFFF"/>
        <w:tabs>
          <w:tab w:val="clear" w:pos="1440"/>
        </w:tabs>
        <w:spacing w:after="0"/>
        <w:ind w:left="142" w:hanging="142"/>
        <w:rPr>
          <w:bCs/>
          <w:color w:val="000000"/>
        </w:rPr>
      </w:pPr>
      <w:r w:rsidRPr="002775E9">
        <w:rPr>
          <w:bCs/>
          <w:color w:val="000000"/>
        </w:rPr>
        <w:t>воспитывать уважительное отношения к национальным богатствам России.</w:t>
      </w:r>
    </w:p>
    <w:p w:rsidR="00FC17BF" w:rsidRDefault="00FC17BF" w:rsidP="00FC17BF">
      <w:pPr>
        <w:pStyle w:val="c18"/>
        <w:shd w:val="clear" w:color="auto" w:fill="FFFFFF"/>
        <w:spacing w:before="0" w:beforeAutospacing="0" w:after="0" w:afterAutospacing="0"/>
        <w:rPr>
          <w:rStyle w:val="c5"/>
          <w:color w:val="000000"/>
        </w:rPr>
      </w:pPr>
      <w:r>
        <w:rPr>
          <w:rStyle w:val="c15"/>
          <w:b/>
          <w:bCs/>
          <w:color w:val="000000"/>
        </w:rPr>
        <w:t>Оборудование:</w:t>
      </w:r>
      <w:r>
        <w:rPr>
          <w:rStyle w:val="c5"/>
          <w:color w:val="000000"/>
        </w:rPr>
        <w:t> Компьютер, мультимедиа презентация, карта «Топливная промышленность России», атласы 8, 9 класс.</w:t>
      </w:r>
    </w:p>
    <w:p w:rsidR="00096136" w:rsidRDefault="00FC17BF" w:rsidP="00FC17BF">
      <w:pPr>
        <w:pStyle w:val="c18"/>
        <w:shd w:val="clear" w:color="auto" w:fill="FFFFFF"/>
        <w:spacing w:before="0" w:beforeAutospacing="0" w:after="0" w:afterAutospacing="0"/>
        <w:rPr>
          <w:color w:val="000000"/>
        </w:rPr>
      </w:pPr>
      <w:r w:rsidRPr="000731F5">
        <w:rPr>
          <w:color w:val="000000"/>
        </w:rPr>
        <w:br/>
      </w:r>
      <w:r>
        <w:rPr>
          <w:b/>
          <w:color w:val="000000"/>
        </w:rPr>
        <w:t xml:space="preserve">                                                                                 </w:t>
      </w:r>
      <w:r w:rsidRPr="000731F5">
        <w:rPr>
          <w:b/>
          <w:color w:val="000000"/>
        </w:rPr>
        <w:t>Ход урока</w:t>
      </w:r>
      <w:r w:rsidRPr="000731F5">
        <w:rPr>
          <w:color w:val="000000"/>
        </w:rPr>
        <w:br/>
      </w:r>
      <w:r w:rsidRPr="000F59B4">
        <w:rPr>
          <w:b/>
          <w:color w:val="000000"/>
          <w:sz w:val="28"/>
          <w:szCs w:val="28"/>
        </w:rPr>
        <w:t>I. Организационный момент.</w:t>
      </w:r>
    </w:p>
    <w:p w:rsidR="00096136" w:rsidRDefault="00096136" w:rsidP="00FC17BF">
      <w:pPr>
        <w:pStyle w:val="c1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Приветствие учащихся.</w:t>
      </w:r>
    </w:p>
    <w:p w:rsidR="00096136" w:rsidRPr="000F59B4" w:rsidRDefault="00096136" w:rsidP="00FC17BF">
      <w:pPr>
        <w:pStyle w:val="c18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0F59B4">
        <w:rPr>
          <w:b/>
          <w:color w:val="000000"/>
          <w:sz w:val="28"/>
          <w:szCs w:val="28"/>
          <w:lang w:val="en-US"/>
        </w:rPr>
        <w:t>II</w:t>
      </w:r>
      <w:r w:rsidRPr="000F59B4">
        <w:rPr>
          <w:b/>
          <w:color w:val="000000"/>
          <w:sz w:val="28"/>
          <w:szCs w:val="28"/>
        </w:rPr>
        <w:t>. проверка дом.задания</w:t>
      </w:r>
    </w:p>
    <w:p w:rsidR="00096136" w:rsidRDefault="00096136" w:rsidP="00FC17BF">
      <w:pPr>
        <w:pStyle w:val="c18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Учитель задает вопросы ученикам.</w:t>
      </w:r>
    </w:p>
    <w:p w:rsidR="00096136" w:rsidRPr="00096136" w:rsidRDefault="00096136" w:rsidP="00096136">
      <w:pPr>
        <w:pStyle w:val="c18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Что такое машиностроительный комплекс?</w:t>
      </w:r>
    </w:p>
    <w:p w:rsidR="00096136" w:rsidRPr="00096136" w:rsidRDefault="00096136" w:rsidP="00096136">
      <w:pPr>
        <w:pStyle w:val="c18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Каково значение МК в хозяйстве России?</w:t>
      </w:r>
    </w:p>
    <w:p w:rsidR="00096136" w:rsidRPr="00096136" w:rsidRDefault="00096136" w:rsidP="00096136">
      <w:pPr>
        <w:pStyle w:val="c18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Назовите отрасли МК.</w:t>
      </w:r>
    </w:p>
    <w:p w:rsidR="00FC17BF" w:rsidRDefault="00096136" w:rsidP="000F59B4">
      <w:pPr>
        <w:pStyle w:val="c18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360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</w:rPr>
        <w:t>Какие факторы влияют на размещение предприятий МК?</w:t>
      </w:r>
      <w:r w:rsidR="00FC17BF" w:rsidRPr="000731F5">
        <w:rPr>
          <w:color w:val="000000"/>
        </w:rPr>
        <w:br/>
      </w:r>
      <w:r w:rsidR="00FC17BF" w:rsidRPr="000F59B4">
        <w:rPr>
          <w:b/>
          <w:color w:val="000000"/>
          <w:sz w:val="28"/>
          <w:szCs w:val="28"/>
        </w:rPr>
        <w:t>II</w:t>
      </w:r>
      <w:r w:rsidR="000F59B4" w:rsidRPr="000F59B4">
        <w:rPr>
          <w:b/>
          <w:color w:val="000000"/>
          <w:sz w:val="28"/>
          <w:szCs w:val="28"/>
          <w:lang w:val="en-US"/>
        </w:rPr>
        <w:t>I</w:t>
      </w:r>
      <w:r w:rsidR="00FC17BF" w:rsidRPr="000F59B4">
        <w:rPr>
          <w:b/>
          <w:color w:val="000000"/>
          <w:sz w:val="28"/>
          <w:szCs w:val="28"/>
        </w:rPr>
        <w:t>. Изучение нового материала.</w:t>
      </w:r>
      <w:r w:rsidR="00FC17BF">
        <w:rPr>
          <w:color w:val="000000"/>
        </w:rPr>
        <w:br/>
      </w:r>
      <w:r w:rsidR="00FC17BF" w:rsidRPr="000731F5">
        <w:rPr>
          <w:color w:val="000000"/>
        </w:rPr>
        <w:t xml:space="preserve">- Сегодня мы начинаем знакомство с </w:t>
      </w:r>
      <w:r>
        <w:rPr>
          <w:color w:val="000000"/>
        </w:rPr>
        <w:t xml:space="preserve"> другим видом </w:t>
      </w:r>
      <w:r w:rsidR="00FC17BF" w:rsidRPr="000731F5">
        <w:rPr>
          <w:color w:val="000000"/>
        </w:rPr>
        <w:t>межотраслевы</w:t>
      </w:r>
      <w:r>
        <w:rPr>
          <w:color w:val="000000"/>
        </w:rPr>
        <w:t>х</w:t>
      </w:r>
      <w:r w:rsidR="00FC17BF" w:rsidRPr="000731F5">
        <w:rPr>
          <w:color w:val="000000"/>
        </w:rPr>
        <w:t xml:space="preserve"> комплекс</w:t>
      </w:r>
      <w:r>
        <w:rPr>
          <w:color w:val="000000"/>
        </w:rPr>
        <w:t>ов</w:t>
      </w:r>
      <w:r w:rsidR="00FC17BF" w:rsidRPr="000731F5">
        <w:rPr>
          <w:color w:val="000000"/>
        </w:rPr>
        <w:t xml:space="preserve"> </w:t>
      </w:r>
      <w:r w:rsidR="00FC17BF" w:rsidRPr="000731F5">
        <w:rPr>
          <w:b/>
          <w:i/>
          <w:color w:val="000000"/>
        </w:rPr>
        <w:t>План изучения межотраслевого комплекса:</w:t>
      </w:r>
      <w:r w:rsidR="00FC17BF" w:rsidRPr="000731F5">
        <w:rPr>
          <w:color w:val="000000"/>
        </w:rPr>
        <w:br/>
      </w:r>
      <w:r w:rsidR="00FC17BF">
        <w:rPr>
          <w:color w:val="000000"/>
        </w:rPr>
        <w:t xml:space="preserve">- </w:t>
      </w:r>
      <w:r w:rsidR="00FC17BF" w:rsidRPr="000731F5">
        <w:rPr>
          <w:color w:val="000000"/>
        </w:rPr>
        <w:t xml:space="preserve">Значение </w:t>
      </w:r>
      <w:r w:rsidR="00FC17BF">
        <w:rPr>
          <w:color w:val="000000"/>
        </w:rPr>
        <w:t xml:space="preserve">межотраслевого комплекса </w:t>
      </w:r>
      <w:r w:rsidR="00FC17BF" w:rsidRPr="000731F5">
        <w:rPr>
          <w:color w:val="000000"/>
        </w:rPr>
        <w:t>в хозяйстве.</w:t>
      </w:r>
      <w:r w:rsidR="00FC17BF" w:rsidRPr="000731F5">
        <w:rPr>
          <w:color w:val="000000"/>
        </w:rPr>
        <w:br/>
      </w:r>
      <w:r w:rsidR="00FC17BF">
        <w:rPr>
          <w:color w:val="000000"/>
        </w:rPr>
        <w:t xml:space="preserve">- </w:t>
      </w:r>
      <w:r w:rsidR="00FC17BF" w:rsidRPr="000731F5">
        <w:rPr>
          <w:color w:val="000000"/>
        </w:rPr>
        <w:t>Состав комплекса и роль отраслей, входящих в него.</w:t>
      </w:r>
      <w:r w:rsidR="00FC17BF" w:rsidRPr="000731F5">
        <w:rPr>
          <w:color w:val="000000"/>
        </w:rPr>
        <w:br/>
      </w:r>
      <w:r w:rsidR="00FC17BF">
        <w:rPr>
          <w:color w:val="000000"/>
        </w:rPr>
        <w:t xml:space="preserve">- </w:t>
      </w:r>
      <w:r w:rsidR="00FC17BF" w:rsidRPr="000731F5">
        <w:rPr>
          <w:color w:val="000000"/>
        </w:rPr>
        <w:t>Факторы размещения отраслей.</w:t>
      </w:r>
      <w:r w:rsidR="00FC17BF" w:rsidRPr="000731F5">
        <w:rPr>
          <w:color w:val="000000"/>
        </w:rPr>
        <w:br/>
      </w:r>
      <w:r w:rsidR="00FC17BF">
        <w:rPr>
          <w:color w:val="000000"/>
        </w:rPr>
        <w:t xml:space="preserve">- </w:t>
      </w:r>
      <w:r w:rsidR="00FC17BF" w:rsidRPr="000731F5">
        <w:rPr>
          <w:color w:val="000000"/>
        </w:rPr>
        <w:t>Районы размещения производства (базы).</w:t>
      </w:r>
      <w:r w:rsidR="00FC17BF" w:rsidRPr="000731F5">
        <w:rPr>
          <w:color w:val="000000"/>
        </w:rPr>
        <w:br/>
      </w:r>
      <w:r w:rsidR="00FC17BF">
        <w:rPr>
          <w:color w:val="000000"/>
        </w:rPr>
        <w:t xml:space="preserve">- </w:t>
      </w:r>
      <w:r w:rsidR="00FC17BF" w:rsidRPr="000731F5">
        <w:rPr>
          <w:color w:val="000000"/>
        </w:rPr>
        <w:t>Перспективы и проблемы развития комплекса.</w:t>
      </w:r>
      <w:r w:rsidR="00FC17BF" w:rsidRPr="000731F5">
        <w:rPr>
          <w:color w:val="000000"/>
        </w:rPr>
        <w:br/>
      </w:r>
    </w:p>
    <w:p w:rsidR="002775E9" w:rsidRPr="002775E9" w:rsidRDefault="002775E9" w:rsidP="002775E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75E9">
        <w:rPr>
          <w:rFonts w:ascii="Times New Roman" w:hAnsi="Times New Roman" w:cs="Times New Roman"/>
          <w:sz w:val="24"/>
          <w:szCs w:val="24"/>
        </w:rPr>
        <w:t>Экономику России – страны с холодной зимой, развитой промышленностью невозможно представить без топлива и энергии. Задача ТЭК состоит в добыче топлива, производстве электроэнергии и передаче их (транспортировке) потребителю.</w:t>
      </w:r>
    </w:p>
    <w:p w:rsidR="002775E9" w:rsidRDefault="002775E9" w:rsidP="002775E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2775E9">
        <w:rPr>
          <w:rFonts w:ascii="Times New Roman" w:hAnsi="Times New Roman" w:cs="Times New Roman"/>
          <w:b/>
          <w:bCs/>
          <w:sz w:val="24"/>
          <w:szCs w:val="24"/>
        </w:rPr>
        <w:t>ТЭК - совокупность отраслей, связанных с производством и распределением энергии в ее различных видах и формах.</w:t>
      </w:r>
    </w:p>
    <w:p w:rsidR="002775E9" w:rsidRDefault="002775E9" w:rsidP="002775E9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Задача ТЭК состоит в добыче топлива, производстве электроэнергии и передаче их (транспортировке) потребителю.</w:t>
      </w:r>
    </w:p>
    <w:p w:rsidR="002775E9" w:rsidRDefault="002775E9" w:rsidP="002775E9">
      <w:pPr>
        <w:spacing w:after="0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775E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Обучающиеся зарисовывают схему в тетради. </w:t>
      </w:r>
    </w:p>
    <w:p w:rsidR="002775E9" w:rsidRPr="002775E9" w:rsidRDefault="002775E9" w:rsidP="002775E9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775E9" w:rsidRDefault="002775E9" w:rsidP="002775E9">
      <w:pPr>
        <w:spacing w:after="0"/>
        <w:jc w:val="both"/>
      </w:pPr>
      <w:r w:rsidRPr="002775E9">
        <w:rPr>
          <w:noProof/>
        </w:rPr>
        <w:lastRenderedPageBreak/>
        <w:drawing>
          <wp:inline distT="0" distB="0" distL="0" distR="0">
            <wp:extent cx="5914611" cy="3448879"/>
            <wp:effectExtent l="1905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429684" cy="5819515"/>
                      <a:chOff x="428596" y="214290"/>
                      <a:chExt cx="8429684" cy="5819515"/>
                    </a:xfrm>
                  </a:grpSpPr>
                  <a:sp>
                    <a:nvSpPr>
                      <a:cNvPr id="3" name="Прямоугольник 2"/>
                      <a:cNvSpPr/>
                    </a:nvSpPr>
                    <a:spPr>
                      <a:xfrm>
                        <a:off x="428596" y="214290"/>
                        <a:ext cx="8429684" cy="50006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" name="TextBox 3"/>
                      <a:cNvSpPr txBox="1"/>
                    </a:nvSpPr>
                    <a:spPr>
                      <a:xfrm>
                        <a:off x="1285852" y="285728"/>
                        <a:ext cx="6643734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dirty="0" smtClean="0"/>
                            <a:t>ПОТРЕБИТЕЛИ ЭНЕРГИИ И ТЕПЛА</a:t>
                          </a:r>
                          <a:endParaRPr lang="ru-RU" dirty="0"/>
                        </a:p>
                      </a:txBody>
                      <a:useSpRect/>
                    </a:txSp>
                  </a:sp>
                  <a:sp>
                    <a:nvSpPr>
                      <a:cNvPr id="5" name="Прямоугольник 4"/>
                      <a:cNvSpPr/>
                    </a:nvSpPr>
                    <a:spPr>
                      <a:xfrm>
                        <a:off x="428596" y="714356"/>
                        <a:ext cx="2857520" cy="642942"/>
                      </a:xfrm>
                      <a:prstGeom prst="rect">
                        <a:avLst/>
                      </a:prstGeom>
                      <a:solidFill>
                        <a:srgbClr val="92D050"/>
                      </a:solidFill>
                      <a:ln>
                        <a:solidFill>
                          <a:srgbClr val="92D050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6" name="TextBox 5"/>
                      <a:cNvSpPr txBox="1"/>
                    </a:nvSpPr>
                    <a:spPr>
                      <a:xfrm>
                        <a:off x="571472" y="785794"/>
                        <a:ext cx="2428892" cy="646331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dirty="0" smtClean="0"/>
                            <a:t>ТРАНСПОРТ ТОПЛИВА И ТЕПЛА</a:t>
                          </a:r>
                          <a:endParaRPr lang="ru-RU" dirty="0"/>
                        </a:p>
                      </a:txBody>
                      <a:useSpRect/>
                    </a:txSp>
                  </a:sp>
                  <a:sp>
                    <a:nvSpPr>
                      <a:cNvPr id="7" name="Прямоугольник 6"/>
                      <a:cNvSpPr/>
                    </a:nvSpPr>
                    <a:spPr>
                      <a:xfrm>
                        <a:off x="3286116" y="714356"/>
                        <a:ext cx="5572164" cy="642942"/>
                      </a:xfrm>
                      <a:prstGeom prst="rect">
                        <a:avLst/>
                      </a:prstGeom>
                      <a:solidFill>
                        <a:schemeClr val="accent2">
                          <a:lumMod val="60000"/>
                          <a:lumOff val="40000"/>
                        </a:schemeClr>
                      </a:solidFill>
                      <a:ln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8" name="TextBox 7"/>
                      <a:cNvSpPr txBox="1"/>
                    </a:nvSpPr>
                    <a:spPr>
                      <a:xfrm>
                        <a:off x="3500430" y="928670"/>
                        <a:ext cx="4929222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dirty="0" smtClean="0"/>
                            <a:t>ТРАНСПОРТ ЭЛЕКТРОЭНЕРГИИ</a:t>
                          </a:r>
                          <a:endParaRPr lang="ru-RU" dirty="0"/>
                        </a:p>
                      </a:txBody>
                      <a:useSpRect/>
                    </a:txSp>
                  </a:sp>
                  <a:sp>
                    <a:nvSpPr>
                      <a:cNvPr id="9" name="Прямоугольник 8"/>
                      <a:cNvSpPr/>
                    </a:nvSpPr>
                    <a:spPr>
                      <a:xfrm>
                        <a:off x="428596" y="1714488"/>
                        <a:ext cx="2428892" cy="3429024"/>
                      </a:xfrm>
                      <a:prstGeom prst="rect">
                        <a:avLst/>
                      </a:prstGeom>
                      <a:solidFill>
                        <a:schemeClr val="accent3">
                          <a:lumMod val="75000"/>
                        </a:schemeClr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10" name="TextBox 9"/>
                      <a:cNvSpPr txBox="1"/>
                    </a:nvSpPr>
                    <a:spPr>
                      <a:xfrm>
                        <a:off x="428596" y="1928802"/>
                        <a:ext cx="2357454" cy="321471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dirty="0" smtClean="0"/>
                            <a:t>угольная промышленность</a:t>
                          </a:r>
                        </a:p>
                        <a:p>
                          <a:endParaRPr lang="ru-RU" dirty="0" smtClean="0"/>
                        </a:p>
                        <a:p>
                          <a:r>
                            <a:rPr lang="ru-RU" dirty="0" smtClean="0"/>
                            <a:t>сланцевая, торфяная промышленность</a:t>
                          </a:r>
                        </a:p>
                        <a:p>
                          <a:endParaRPr lang="ru-RU" dirty="0" smtClean="0"/>
                        </a:p>
                        <a:p>
                          <a:r>
                            <a:rPr lang="ru-RU" dirty="0" smtClean="0"/>
                            <a:t>нефтяная промышленность</a:t>
                          </a:r>
                        </a:p>
                        <a:p>
                          <a:endParaRPr lang="ru-RU" dirty="0" smtClean="0"/>
                        </a:p>
                        <a:p>
                          <a:r>
                            <a:rPr lang="ru-RU" dirty="0" smtClean="0"/>
                            <a:t>газовая промышленность</a:t>
                          </a:r>
                          <a:endParaRPr lang="ru-RU" dirty="0"/>
                        </a:p>
                      </a:txBody>
                      <a:useSpRect/>
                    </a:txSp>
                  </a:sp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428596" y="2643182"/>
                        <a:ext cx="2357454" cy="0"/>
                      </a:xfrm>
                      <a:prstGeom prst="line">
                        <a:avLst/>
                      </a:prstGeom>
                      <a:ln>
                        <a:solidFill>
                          <a:srgbClr val="BCBF47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3" name="Прямая соединительная линия 12"/>
                      <a:cNvCxnSpPr/>
                    </a:nvCxnSpPr>
                    <a:spPr>
                      <a:xfrm>
                        <a:off x="428596" y="3500438"/>
                        <a:ext cx="2357454" cy="0"/>
                      </a:xfrm>
                      <a:prstGeom prst="line">
                        <a:avLst/>
                      </a:prstGeom>
                      <a:ln>
                        <a:solidFill>
                          <a:srgbClr val="BCBF47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4" name="Прямая соединительная линия 13"/>
                      <a:cNvCxnSpPr/>
                    </a:nvCxnSpPr>
                    <a:spPr>
                      <a:xfrm>
                        <a:off x="428596" y="4286256"/>
                        <a:ext cx="2428892" cy="0"/>
                      </a:xfrm>
                      <a:prstGeom prst="line">
                        <a:avLst/>
                      </a:prstGeom>
                      <a:ln>
                        <a:solidFill>
                          <a:srgbClr val="BCBF47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9" name="Прямоугольник 18"/>
                      <a:cNvSpPr/>
                    </a:nvSpPr>
                    <a:spPr>
                      <a:xfrm>
                        <a:off x="2857488" y="1714488"/>
                        <a:ext cx="500066" cy="3429024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0" name="TextBox 19"/>
                      <a:cNvSpPr txBox="1"/>
                    </a:nvSpPr>
                    <a:spPr>
                      <a:xfrm rot="5400000">
                        <a:off x="1620853" y="3032444"/>
                        <a:ext cx="2954700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vert="horz"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2400" dirty="0" smtClean="0"/>
                            <a:t>ДОБЫЧА ТОПЛИВА</a:t>
                          </a:r>
                          <a:endParaRPr lang="ru-RU" sz="2400" dirty="0"/>
                        </a:p>
                      </a:txBody>
                      <a:useSpRect/>
                    </a:txSp>
                  </a:sp>
                  <a:sp>
                    <a:nvSpPr>
                      <a:cNvPr id="21" name="Прямоугольник 20"/>
                      <a:cNvSpPr/>
                    </a:nvSpPr>
                    <a:spPr>
                      <a:xfrm>
                        <a:off x="3714744" y="1643050"/>
                        <a:ext cx="428628" cy="3500462"/>
                      </a:xfrm>
                      <a:prstGeom prst="rect">
                        <a:avLst/>
                      </a:prstGeom>
                      <a:solidFill>
                        <a:schemeClr val="accent2">
                          <a:lumMod val="40000"/>
                          <a:lumOff val="60000"/>
                        </a:schemeClr>
                      </a:solidFill>
                      <a:ln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22" name="TextBox 21"/>
                      <a:cNvSpPr txBox="1"/>
                    </a:nvSpPr>
                    <a:spPr>
                      <a:xfrm rot="16200000">
                        <a:off x="2220617" y="3131671"/>
                        <a:ext cx="3357586" cy="52322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dirty="0" smtClean="0"/>
                            <a:t>электроэнергетика</a:t>
                          </a:r>
                          <a:endParaRPr lang="ru-RU" sz="2800" dirty="0"/>
                        </a:p>
                      </a:txBody>
                      <a:useSpRect/>
                    </a:txSp>
                  </a:sp>
                  <a:cxnSp>
                    <a:nvCxnSpPr>
                      <a:cNvPr id="24" name="Прямая со стрелкой 23"/>
                      <a:cNvCxnSpPr>
                        <a:stCxn id="19" idx="0"/>
                      </a:cNvCxnSpPr>
                    </a:nvCxnSpPr>
                    <a:spPr>
                      <a:xfrm rot="16200000" flipV="1">
                        <a:off x="2553878" y="1160845"/>
                        <a:ext cx="1071570" cy="35716"/>
                      </a:xfrm>
                      <a:prstGeom prst="straightConnector1">
                        <a:avLst/>
                      </a:prstGeom>
                      <a:ln w="25400" cmpd="sng">
                        <a:solidFill>
                          <a:srgbClr val="C0000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30" name="Прямая со стрелкой 29"/>
                      <a:cNvCxnSpPr/>
                    </a:nvCxnSpPr>
                    <a:spPr>
                      <a:xfrm rot="16200000" flipV="1">
                        <a:off x="3625445" y="1160845"/>
                        <a:ext cx="1071570" cy="35716"/>
                      </a:xfrm>
                      <a:prstGeom prst="straightConnector1">
                        <a:avLst/>
                      </a:prstGeom>
                      <a:ln w="25400" cmpd="sng">
                        <a:solidFill>
                          <a:srgbClr val="C00000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1" name="Прямоугольник 30"/>
                      <a:cNvSpPr/>
                    </a:nvSpPr>
                    <a:spPr>
                      <a:xfrm>
                        <a:off x="4143372" y="1643050"/>
                        <a:ext cx="2357454" cy="3500462"/>
                      </a:xfrm>
                      <a:prstGeom prst="rect">
                        <a:avLst/>
                      </a:prstGeom>
                      <a:solidFill>
                        <a:schemeClr val="accent2">
                          <a:lumMod val="40000"/>
                          <a:lumOff val="60000"/>
                        </a:schemeClr>
                      </a:solidFill>
                      <a:ln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32" name="Прямая со стрелкой 31"/>
                      <a:cNvCxnSpPr/>
                    </a:nvCxnSpPr>
                    <a:spPr>
                      <a:xfrm flipV="1">
                        <a:off x="3357554" y="1785926"/>
                        <a:ext cx="857256" cy="9524"/>
                      </a:xfrm>
                      <a:prstGeom prst="straightConnector1">
                        <a:avLst/>
                      </a:prstGeom>
                      <a:ln w="25400" cmpd="sng">
                        <a:solidFill>
                          <a:srgbClr val="00602B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35" name="Прямоугольник 34"/>
                      <a:cNvSpPr/>
                    </a:nvSpPr>
                    <a:spPr>
                      <a:xfrm>
                        <a:off x="4214810" y="1714488"/>
                        <a:ext cx="2571768" cy="428628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40000"/>
                          <a:lumOff val="60000"/>
                        </a:schemeClr>
                      </a:solidFill>
                      <a:ln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6" name="TextBox 35"/>
                      <a:cNvSpPr txBox="1"/>
                    </a:nvSpPr>
                    <a:spPr>
                      <a:xfrm>
                        <a:off x="4429124" y="1785926"/>
                        <a:ext cx="2000264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dirty="0" smtClean="0"/>
                            <a:t>ТЭС, ТЭЦ</a:t>
                          </a:r>
                          <a:endParaRPr lang="ru-RU" dirty="0"/>
                        </a:p>
                      </a:txBody>
                      <a:useSpRect/>
                    </a:txSp>
                  </a:sp>
                  <a:sp>
                    <a:nvSpPr>
                      <a:cNvPr id="37" name="Прямоугольник 36"/>
                      <a:cNvSpPr/>
                    </a:nvSpPr>
                    <a:spPr>
                      <a:xfrm>
                        <a:off x="4214810" y="2571744"/>
                        <a:ext cx="2571768" cy="428628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40000"/>
                          <a:lumOff val="60000"/>
                        </a:schemeClr>
                      </a:solidFill>
                      <a:ln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8" name="Прямоугольник 37"/>
                      <a:cNvSpPr/>
                    </a:nvSpPr>
                    <a:spPr>
                      <a:xfrm>
                        <a:off x="4286248" y="3429000"/>
                        <a:ext cx="2571768" cy="428628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40000"/>
                          <a:lumOff val="60000"/>
                        </a:schemeClr>
                      </a:solidFill>
                      <a:ln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9" name="Прямоугольник 38"/>
                      <a:cNvSpPr/>
                    </a:nvSpPr>
                    <a:spPr>
                      <a:xfrm>
                        <a:off x="4286248" y="4286256"/>
                        <a:ext cx="2571768" cy="500066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40000"/>
                          <a:lumOff val="60000"/>
                        </a:schemeClr>
                      </a:solidFill>
                      <a:ln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0" name="TextBox 39"/>
                      <a:cNvSpPr txBox="1"/>
                    </a:nvSpPr>
                    <a:spPr>
                      <a:xfrm>
                        <a:off x="4500562" y="2643182"/>
                        <a:ext cx="1857388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dirty="0" smtClean="0"/>
                            <a:t>ГЭС, ГАЭС, ПЭС</a:t>
                          </a:r>
                          <a:endParaRPr lang="ru-RU" dirty="0"/>
                        </a:p>
                      </a:txBody>
                      <a:useSpRect/>
                    </a:txSp>
                  </a:sp>
                  <a:sp>
                    <a:nvSpPr>
                      <a:cNvPr id="41" name="TextBox 40"/>
                      <a:cNvSpPr txBox="1"/>
                    </a:nvSpPr>
                    <a:spPr>
                      <a:xfrm>
                        <a:off x="4500562" y="3500438"/>
                        <a:ext cx="1928826" cy="369332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dirty="0" smtClean="0"/>
                            <a:t>АЭС, АТЭЦ, АСТ</a:t>
                          </a:r>
                          <a:endParaRPr lang="ru-RU" dirty="0"/>
                        </a:p>
                      </a:txBody>
                      <a:useSpRect/>
                    </a:txSp>
                  </a:sp>
                  <a:sp>
                    <a:nvSpPr>
                      <a:cNvPr id="42" name="TextBox 41"/>
                      <a:cNvSpPr txBox="1"/>
                    </a:nvSpPr>
                    <a:spPr>
                      <a:xfrm>
                        <a:off x="4286248" y="4214818"/>
                        <a:ext cx="2428892" cy="58477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ru-RU" sz="1600" dirty="0" smtClean="0"/>
                            <a:t>Ветровые, солнечные, приливные и др. ЭС</a:t>
                          </a:r>
                          <a:endParaRPr lang="ru-RU" sz="1600" dirty="0"/>
                        </a:p>
                      </a:txBody>
                      <a:useSpRect/>
                    </a:txSp>
                  </a:sp>
                  <a:sp>
                    <a:nvSpPr>
                      <a:cNvPr id="43" name="Прямоугольник 42"/>
                      <a:cNvSpPr/>
                    </a:nvSpPr>
                    <a:spPr>
                      <a:xfrm>
                        <a:off x="7072330" y="1643050"/>
                        <a:ext cx="1785950" cy="50006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dirty="0" smtClean="0">
                              <a:solidFill>
                                <a:schemeClr val="tx1"/>
                              </a:solidFill>
                            </a:rPr>
                            <a:t>ЭНЕРГИЯ ВОДЫ</a:t>
                          </a:r>
                          <a:endParaRPr lang="ru-RU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4" name="Прямоугольник 43"/>
                      <a:cNvSpPr/>
                    </a:nvSpPr>
                    <a:spPr>
                      <a:xfrm>
                        <a:off x="7000892" y="2571744"/>
                        <a:ext cx="1857388" cy="121444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dirty="0" smtClean="0">
                              <a:solidFill>
                                <a:schemeClr val="tx1"/>
                              </a:solidFill>
                            </a:rPr>
                            <a:t>Добыча и подготовка ядерного топлива</a:t>
                          </a:r>
                          <a:endParaRPr lang="ru-RU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45" name="Прямоугольник 44"/>
                      <a:cNvSpPr/>
                    </a:nvSpPr>
                    <a:spPr>
                      <a:xfrm>
                        <a:off x="7000892" y="4214818"/>
                        <a:ext cx="1857388" cy="857256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dirty="0" smtClean="0">
                              <a:solidFill>
                                <a:schemeClr val="tx1"/>
                              </a:solidFill>
                            </a:rPr>
                            <a:t>Использование нетрадиционных видов энергии</a:t>
                          </a:r>
                          <a:endParaRPr lang="ru-RU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47" name="Соединительная линия уступом 46"/>
                      <a:cNvCxnSpPr/>
                    </a:nvCxnSpPr>
                    <a:spPr>
                      <a:xfrm rot="10800000" flipV="1">
                        <a:off x="6786578" y="1785926"/>
                        <a:ext cx="285752" cy="892975"/>
                      </a:xfrm>
                      <a:prstGeom prst="bentConnector3">
                        <a:avLst>
                          <a:gd name="adj1" fmla="val 50000"/>
                        </a:avLst>
                      </a:prstGeom>
                      <a:ln w="25400">
                        <a:solidFill>
                          <a:schemeClr val="accent1">
                            <a:lumMod val="50000"/>
                          </a:schemeClr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8" name="Соединительная линия уступом 47"/>
                      <a:cNvCxnSpPr/>
                    </a:nvCxnSpPr>
                    <a:spPr>
                      <a:xfrm rot="10800000" flipV="1">
                        <a:off x="6715140" y="2857496"/>
                        <a:ext cx="285752" cy="892975"/>
                      </a:xfrm>
                      <a:prstGeom prst="bentConnector3">
                        <a:avLst>
                          <a:gd name="adj1" fmla="val 50000"/>
                        </a:avLst>
                      </a:prstGeom>
                      <a:ln w="25400">
                        <a:solidFill>
                          <a:schemeClr val="accent1">
                            <a:lumMod val="50000"/>
                          </a:schemeClr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0" name="Прямая со стрелкой 59"/>
                      <a:cNvCxnSpPr>
                        <a:endCxn id="42" idx="3"/>
                      </a:cNvCxnSpPr>
                    </a:nvCxnSpPr>
                    <a:spPr>
                      <a:xfrm rot="10800000" flipV="1">
                        <a:off x="6715140" y="4500570"/>
                        <a:ext cx="285752" cy="6636"/>
                      </a:xfrm>
                      <a:prstGeom prst="straightConnector1">
                        <a:avLst/>
                      </a:prstGeom>
                      <a:ln w="25400">
                        <a:solidFill>
                          <a:schemeClr val="accent1">
                            <a:lumMod val="50000"/>
                          </a:schemeClr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1" name="TextBox 60"/>
                      <a:cNvSpPr txBox="1"/>
                    </a:nvSpPr>
                    <a:spPr>
                      <a:xfrm>
                        <a:off x="1142976" y="5572140"/>
                        <a:ext cx="7215238" cy="461665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400" b="1" dirty="0" smtClean="0"/>
                            <a:t>ТОПЛИВНО – ЭНЕРГЕТИЧЕСКИЙ КОМПЛЕКС </a:t>
                          </a:r>
                          <a:endParaRPr lang="ru-RU" sz="2400" b="1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  <w:r>
        <w:t>В состав ТЭК входят: топливная промышленность, электроэнергетика (торфяная, угольная, нефтяная, газовая), электростанции (тепловые, атомные, приливные, гидростанции).</w:t>
      </w:r>
    </w:p>
    <w:p w:rsidR="00096136" w:rsidRDefault="002775E9" w:rsidP="002775E9">
      <w:pPr>
        <w:tabs>
          <w:tab w:val="left" w:pos="1597"/>
        </w:tabs>
        <w:rPr>
          <w:rFonts w:ascii="Arial" w:hAnsi="Arial" w:cs="Arial"/>
          <w:bCs/>
          <w:i/>
          <w:color w:val="000000"/>
        </w:rPr>
      </w:pPr>
      <w:r w:rsidRPr="002775E9">
        <w:rPr>
          <w:rFonts w:ascii="Arial" w:hAnsi="Arial" w:cs="Arial"/>
          <w:bCs/>
          <w:i/>
          <w:color w:val="000000"/>
        </w:rPr>
        <w:t>На доске изображается в виде схемы.</w:t>
      </w:r>
    </w:p>
    <w:p w:rsidR="000F59B4" w:rsidRDefault="00096136" w:rsidP="00096136">
      <w:pPr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t>Топливная промышленность - занимается добычей топлива (угля, газа, нефти, сланцев, торфа).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Электроэнергетика - производством энергии на электростанциях. Энергоресурсами являются - топливо, энергия воды, энергия ядерного топлива, нетрадиционные виды энергии (ветер, приливы, энергия Солнца и др.).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Транспортировка топлива и электроэнергии.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Ежегодно в стране составляется топливно-энергетический баланс - это соотношение добычи топлива и произведенной энергии (приход) и их использовани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в хозяйстве страны (расход).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(Приход - составляет добыча и производство топлива, остатки на конец года и импорт. Расход - на производственные нужды, преобразование в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ругие виды энергии и экспорт.)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t>- Задачами ТЭК является не только увеличение добычи топлива и производства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электроэнергии, но и экономия энергии, т. к., во-первых, новые месторождения расположены в необжитых, труднодоступных для освоения, районах Севера России; во-вторых, добыча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транспортировка топлива постоянно дорожает; и в-третьих, топливная промышленность и энергетика оказыва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ют отрицательное воздействие на 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t>природу.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731F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Вопрос к классу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t>: Как можно экономить энергию каждому жителю России? Как учащиеся школ могут помочь в этом?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9613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Укажите направления, по которым осуществляется транспортировка нефти.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(I. Нефтепровод «Дружба»: от г. Альметьевска (Татарстан) - до г. Бреста и через границу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Белоруссии в страны Европы; 2. 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Альметьевск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t>- Кириши - Санкт-Петербург; 3. Альметьевск - Новороссийск.)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9613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Найдите центры нефтепереработки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(города, где имеются НПЗ). (Кириши, Ярославль, Пермь, Уфа, Рязань и др.)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731F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lastRenderedPageBreak/>
        <w:t>Газовая промышленность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Газ - дешевое и экологически чистое высококалорийное топливо.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По запасам и добыче газа Россия занимает 1 место в мире. В России разведано более 700 месторождений природного газа. Добыча газа стабильна и приносит большие доходы.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1. Основные районы добычи газа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Россия богата месторождениями природного газа, но его добыча зачастую происходит в суровых природных условиях: полярная ночь, вечная мерзлота, сильные ветры при низких температурах воздуха зимой.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На Западно-Сибирской базе добывается 92% всей добычи газа в стране. Это месторождения - Уренгойское, Ямбургское, Медвежье и др. Оренбургско-Астраханская база(6% добычи); Тимано-Печорская база(1% добычи), 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731F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Работа с картой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- 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на карте основные месторождения природного газа.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2. Транспортировка газа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Газ доставляется потребителю по газопроводам. Крупнейшие из них построены Уренгоя и Оренбурга (Уренгой - Помары - Ужгород). Новые газопроводы «Ямал-Европа» и «Голубой поток» проложены через Черное море в Турцию.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731F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Задания:</w:t>
      </w:r>
      <w:r w:rsidRPr="000731F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br/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t>Отметить на контурной карте месторождения нефти и газа, а также основные направления нефте- и газопроводов.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Нанесите на карту 10 НПЗ и нефтеэкспортные порты.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F59B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</w:t>
      </w:r>
      <w:r w:rsidR="000F59B4" w:rsidRPr="000F59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V</w:t>
      </w:r>
      <w:r w:rsidRPr="000F59B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Закрепление.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0F59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Какие отрасли входят в состав топливно-энергетического комплекса?</w:t>
      </w:r>
      <w:r w:rsidRPr="000F59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  <w:t xml:space="preserve">- Какой вид топлива стоит на первом месте в структуре первичных энергоресурсов? </w:t>
      </w:r>
      <w:r w:rsidRPr="000F59B4">
        <w:rPr>
          <w:rFonts w:ascii="Times New Roman" w:eastAsia="Times New Roman" w:hAnsi="Times New Roman" w:cs="Times New Roman"/>
          <w:color w:val="000000"/>
          <w:sz w:val="24"/>
          <w:szCs w:val="24"/>
        </w:rPr>
        <w:t>(Газ.)</w:t>
      </w:r>
      <w:r w:rsidRPr="000F59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  <w:t>- Что такое топливно-энергетический баланс?</w:t>
      </w:r>
      <w:r w:rsidRPr="000F59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  <w:t>- Назовите способы добычи нефти. Какой из способов дешевле?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(Фонтанный и насосный. Дешевле фонтанный.)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- </w:t>
      </w:r>
      <w:r w:rsidRPr="0009613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Назовите основные нефтяные базы России. 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t>(Западно-Сибирская, Волго-Уральская.)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- </w:t>
      </w:r>
      <w:r w:rsidRPr="0009613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Почему НПЗ строят не в районах добычи нефти, а в районах потребления?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(Для 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транспортировки нефти нужно построить один нефтепровод, а для транспортировки продуктов ее переработки несколько (бензопровод, керосинопровод и т. д.)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- </w:t>
      </w:r>
      <w:r w:rsidRPr="000F59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Почему в 90-х годах произошло снижение добычи нефти?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(Истощение запасов 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t>нефти, изношенность оборудования скважин, низкие темпы разведки и освоения новых месторождений.)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- </w:t>
      </w:r>
      <w:r w:rsidRPr="000F59B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 каком направлении транспортируются нефть и газ по трубопроводам?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(На 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t>запад в европейскую часть России, к западной границе и к морским нефтеэкспортирующим портам.)</w:t>
      </w:r>
    </w:p>
    <w:p w:rsidR="002775E9" w:rsidRPr="00096136" w:rsidRDefault="00096136" w:rsidP="00096136">
      <w:pPr>
        <w:spacing w:after="0" w:line="3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731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Домашнее задание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§</w:t>
      </w:r>
      <w:r w:rsidR="000F59B4" w:rsidRPr="000F59B4">
        <w:rPr>
          <w:rFonts w:ascii="Times New Roman" w:eastAsia="Times New Roman" w:hAnsi="Times New Roman" w:cs="Times New Roman"/>
          <w:color w:val="000000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вопросы после параграфа. 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контурную карту нанести месторождения нефти и газа.</w:t>
      </w:r>
      <w:r w:rsidRPr="000731F5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2775E9" w:rsidRPr="002775E9" w:rsidRDefault="002775E9" w:rsidP="002775E9">
      <w:pPr>
        <w:tabs>
          <w:tab w:val="left" w:pos="1597"/>
        </w:tabs>
        <w:rPr>
          <w:i/>
        </w:rPr>
      </w:pPr>
    </w:p>
    <w:sectPr w:rsidR="002775E9" w:rsidRPr="002775E9" w:rsidSect="00D30E5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6FF" w:rsidRDefault="008266FF" w:rsidP="00FC17BF">
      <w:pPr>
        <w:spacing w:after="0" w:line="240" w:lineRule="auto"/>
      </w:pPr>
      <w:r>
        <w:separator/>
      </w:r>
    </w:p>
  </w:endnote>
  <w:endnote w:type="continuationSeparator" w:id="1">
    <w:p w:rsidR="008266FF" w:rsidRDefault="008266FF" w:rsidP="00FC17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6FF" w:rsidRDefault="008266FF" w:rsidP="00FC17BF">
      <w:pPr>
        <w:spacing w:after="0" w:line="240" w:lineRule="auto"/>
      </w:pPr>
      <w:r>
        <w:separator/>
      </w:r>
    </w:p>
  </w:footnote>
  <w:footnote w:type="continuationSeparator" w:id="1">
    <w:p w:rsidR="008266FF" w:rsidRDefault="008266FF" w:rsidP="00FC17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7BF" w:rsidRPr="00FC17BF" w:rsidRDefault="00FC17BF" w:rsidP="00FC17BF">
    <w:pPr>
      <w:pStyle w:val="a3"/>
      <w:jc w:val="center"/>
      <w:rPr>
        <w:rFonts w:ascii="Cambria Math" w:hAnsi="Cambria Math"/>
        <w:b/>
        <w:i/>
      </w:rPr>
    </w:pPr>
    <w:r w:rsidRPr="00FC17BF">
      <w:rPr>
        <w:rFonts w:ascii="Cambria Math" w:hAnsi="Cambria Math"/>
        <w:b/>
        <w:i/>
      </w:rPr>
      <w:t>Конспект урока по географии для обучающихся 9 класса «Топливно-энергетический комплекс. Роль, значение и проблемы ТЭК.»</w:t>
    </w:r>
  </w:p>
  <w:p w:rsidR="00FC17BF" w:rsidRPr="00FC17BF" w:rsidRDefault="00FC17BF" w:rsidP="00FC17BF">
    <w:pPr>
      <w:pStyle w:val="a3"/>
      <w:jc w:val="center"/>
      <w:rPr>
        <w:rFonts w:ascii="Cambria Math" w:hAnsi="Cambria Math"/>
        <w:b/>
        <w:i/>
      </w:rPr>
    </w:pPr>
    <w:r w:rsidRPr="00FC17BF">
      <w:rPr>
        <w:rFonts w:ascii="Cambria Math" w:hAnsi="Cambria Math"/>
        <w:b/>
        <w:i/>
      </w:rPr>
      <w:t xml:space="preserve">УМК: </w:t>
    </w:r>
    <w:r>
      <w:rPr>
        <w:rFonts w:ascii="Cambria Math" w:hAnsi="Cambria Math"/>
        <w:b/>
        <w:i/>
      </w:rPr>
      <w:t>«География России. Население и хозяйство»</w:t>
    </w:r>
    <w:r w:rsidRPr="00FC17BF">
      <w:rPr>
        <w:rFonts w:ascii="Cambria Math" w:hAnsi="Cambria Math"/>
        <w:b/>
        <w:i/>
      </w:rPr>
      <w:t>В.П. Дронов, В.Я. Ром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A265A"/>
    <w:multiLevelType w:val="multilevel"/>
    <w:tmpl w:val="2C32D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8C422C"/>
    <w:multiLevelType w:val="hybridMultilevel"/>
    <w:tmpl w:val="5AA84E5A"/>
    <w:lvl w:ilvl="0" w:tplc="1B68B73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C17BF"/>
    <w:rsid w:val="00096136"/>
    <w:rsid w:val="000F59B4"/>
    <w:rsid w:val="002775E9"/>
    <w:rsid w:val="008266FF"/>
    <w:rsid w:val="00B4667C"/>
    <w:rsid w:val="00BA7A93"/>
    <w:rsid w:val="00D30E59"/>
    <w:rsid w:val="00FC17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C1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C17BF"/>
  </w:style>
  <w:style w:type="paragraph" w:styleId="a5">
    <w:name w:val="footer"/>
    <w:basedOn w:val="a"/>
    <w:link w:val="a6"/>
    <w:uiPriority w:val="99"/>
    <w:semiHidden/>
    <w:unhideWhenUsed/>
    <w:rsid w:val="00FC17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C17BF"/>
  </w:style>
  <w:style w:type="paragraph" w:customStyle="1" w:styleId="c18">
    <w:name w:val="c18"/>
    <w:basedOn w:val="a"/>
    <w:rsid w:val="00FC1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FC17BF"/>
  </w:style>
  <w:style w:type="character" w:customStyle="1" w:styleId="c5">
    <w:name w:val="c5"/>
    <w:basedOn w:val="a0"/>
    <w:rsid w:val="00FC17BF"/>
  </w:style>
  <w:style w:type="character" w:customStyle="1" w:styleId="apple-converted-space">
    <w:name w:val="apple-converted-space"/>
    <w:basedOn w:val="a0"/>
    <w:rsid w:val="00FC17BF"/>
  </w:style>
  <w:style w:type="paragraph" w:styleId="a7">
    <w:name w:val="Balloon Text"/>
    <w:basedOn w:val="a"/>
    <w:link w:val="a8"/>
    <w:uiPriority w:val="99"/>
    <w:semiHidden/>
    <w:unhideWhenUsed/>
    <w:rsid w:val="00277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775E9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277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8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4</cp:revision>
  <dcterms:created xsi:type="dcterms:W3CDTF">2017-11-08T06:36:00Z</dcterms:created>
  <dcterms:modified xsi:type="dcterms:W3CDTF">2017-11-08T09:41:00Z</dcterms:modified>
</cp:coreProperties>
</file>